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抗冷冻压力传感器30CP42-06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监测氢气路或空气路压力。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螺纹：M14</w:t>
      </w: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1.5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材质：316L SS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（插件：1-1718644-1、插针：7-145267-1、防水塞：967067-1）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284480</wp:posOffset>
            </wp:positionV>
            <wp:extent cx="1343025" cy="2295525"/>
            <wp:effectExtent l="0" t="0" r="9525" b="9525"/>
            <wp:wrapNone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输出电压：(10%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90%)Vcc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工作压力：0.5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3BarA(绝压)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安全压力：600KPaA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工作温度：-40℃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输出负载：220KΩ下拉（PULL-DOWN）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总误差带：±2%Vcc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应用介质：氢气、空气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200525" cy="3038475"/>
            <wp:effectExtent l="0" t="0" r="9525" b="952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5254625" cy="1743075"/>
            <wp:effectExtent l="0" t="0" r="3175" b="952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rcRect r="361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09875" cy="1990725"/>
            <wp:effectExtent l="0" t="0" r="9525" b="952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610100" cy="3305175"/>
            <wp:effectExtent l="0" t="0" r="0" b="952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rcRect l="1397" t="2254" r="199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62425" cy="3048000"/>
            <wp:effectExtent l="0" t="0" r="9525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传感器安装角度要求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752850" cy="3533775"/>
            <wp:effectExtent l="0" t="0" r="0" b="952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A110D41"/>
    <w:rsid w:val="102E13FA"/>
    <w:rsid w:val="1424155D"/>
    <w:rsid w:val="183E5855"/>
    <w:rsid w:val="1C664126"/>
    <w:rsid w:val="23C51B91"/>
    <w:rsid w:val="382734B8"/>
    <w:rsid w:val="3F6C1583"/>
    <w:rsid w:val="4E635533"/>
    <w:rsid w:val="59C96DFB"/>
    <w:rsid w:val="5FBF7A33"/>
    <w:rsid w:val="6A5A5328"/>
    <w:rsid w:val="70B1777B"/>
    <w:rsid w:val="77084798"/>
    <w:rsid w:val="7B7F2EE0"/>
    <w:rsid w:val="7BC76089"/>
    <w:rsid w:val="7DA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2022-10-24T02:37:44Z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34CFC8B403DF4E32B3E2ADA64DFC2B61</vt:lpwstr>
  </property>
</Properties>
</file>